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2D5C7" w14:textId="46D1ECDD" w:rsidR="004A3213" w:rsidRDefault="00F65A11" w:rsidP="00F65A11">
      <w:pPr>
        <w:rPr>
          <w:b/>
          <w:bCs/>
          <w:sz w:val="28"/>
          <w:szCs w:val="28"/>
          <w:lang w:val="pl-PL"/>
        </w:rPr>
      </w:pPr>
      <w:r w:rsidRPr="00F65A11">
        <w:rPr>
          <w:b/>
          <w:bCs/>
          <w:sz w:val="28"/>
          <w:szCs w:val="28"/>
          <w:lang w:val="pl-PL"/>
        </w:rPr>
        <w:t>CIRCUMCISION VS BAPTISM</w:t>
      </w:r>
    </w:p>
    <w:p w14:paraId="5417E147" w14:textId="77777777" w:rsidR="00B111CF" w:rsidRDefault="00B111CF" w:rsidP="00F65A11">
      <w:pPr>
        <w:rPr>
          <w:b/>
          <w:bCs/>
          <w:sz w:val="28"/>
          <w:szCs w:val="28"/>
          <w:lang w:val="pl-PL"/>
        </w:rPr>
      </w:pPr>
    </w:p>
    <w:p w14:paraId="7A177C7B" w14:textId="298EE2F7" w:rsidR="00B111CF" w:rsidRPr="00B111CF" w:rsidRDefault="00B111CF" w:rsidP="00F65A11">
      <w:pPr>
        <w:rPr>
          <w:sz w:val="24"/>
          <w:szCs w:val="24"/>
          <w:lang w:val="pl-PL"/>
        </w:rPr>
      </w:pPr>
      <w:r w:rsidRPr="00B111CF">
        <w:rPr>
          <w:sz w:val="24"/>
          <w:szCs w:val="24"/>
        </w:rPr>
        <w:t>The following is a response to a Facebook post by a Reformed Baptist defending credobaptism and arguing against the Reformed doctrine of infant baptism.</w:t>
      </w:r>
      <w:r w:rsidRPr="00B111CF">
        <w:rPr>
          <w:sz w:val="24"/>
          <w:szCs w:val="24"/>
        </w:rPr>
        <w:br/>
        <w:t>I appreciate that his post attempts to engage the Reformed argument at its strongest point. However, I think its fundamental mistake appears very early on. It assumes that the SUBJECTS of baptism (i.e., those who are to be baptised) must be established by a FRESH NEW TESTAMENT COMMAND which explicitly enumerates who may receive baptism. That is precisely the point which has to be proved, not assumed.</w:t>
      </w:r>
      <w:r w:rsidRPr="00B111CF">
        <w:rPr>
          <w:sz w:val="24"/>
          <w:szCs w:val="24"/>
        </w:rPr>
        <w:br/>
        <w:t>The Reformed argument is not simply, “Circumcision and baptism look rather similar, therefore let us baptise babies.”</w:t>
      </w:r>
      <w:r w:rsidRPr="00B111CF">
        <w:rPr>
          <w:sz w:val="24"/>
          <w:szCs w:val="24"/>
        </w:rPr>
        <w:br/>
        <w:t>It is that God established His everlasting covenant with believers and their seed, gave the initiatory sign and seal of that covenant to believers and their seed, promised that this covenantal and generational principle would continue in the Messianic age (He really did!) and then replaced the old bloody initiatory sign with the new bloodless initiatory sign.</w:t>
      </w:r>
      <w:r w:rsidRPr="00B111CF">
        <w:rPr>
          <w:sz w:val="24"/>
          <w:szCs w:val="24"/>
        </w:rPr>
        <w:br/>
        <w:t>The question is therefore not merely, “Where does the New Testament say, ‘Baptise babies’?” The question is, “Where does God REVOKE the covenant standing which He Himself gave to believers’ children?”</w:t>
      </w:r>
      <w:r w:rsidRPr="00B111CF">
        <w:rPr>
          <w:sz w:val="24"/>
          <w:szCs w:val="24"/>
        </w:rPr>
        <w:br/>
        <w:t>############################</w:t>
      </w:r>
      <w:r w:rsidRPr="00B111CF">
        <w:rPr>
          <w:sz w:val="24"/>
          <w:szCs w:val="24"/>
        </w:rPr>
        <w:br/>
        <w:t>Genesis 17:7 is not some incidental feature of an ethnic covenant: “And I will establish my covenant between me and thee and thy seed after thee in their generations for an everlasting covenant, to be a God unto thee, and to thy seed after thee.”</w:t>
      </w:r>
      <w:r w:rsidRPr="00B111CF">
        <w:rPr>
          <w:sz w:val="24"/>
          <w:szCs w:val="24"/>
        </w:rPr>
        <w:br/>
        <w:t>The substance is God Himself: “to be a God unto thee, and to thy seed after thee.”</w:t>
      </w:r>
      <w:r w:rsidRPr="00B111CF">
        <w:rPr>
          <w:sz w:val="24"/>
          <w:szCs w:val="24"/>
        </w:rPr>
        <w:br/>
        <w:t>Romans 4:11 then tells us that circumcision was “a sign” and “a seal” of “the righteousness of the faith.”</w:t>
      </w:r>
      <w:r w:rsidRPr="00B111CF">
        <w:rPr>
          <w:sz w:val="24"/>
          <w:szCs w:val="24"/>
        </w:rPr>
        <w:br/>
        <w:t>Thus the infant received a sign and seal of the righteousness of faith BEFORE he could make an adult profession of faith.</w:t>
      </w:r>
      <w:r w:rsidRPr="00B111CF">
        <w:rPr>
          <w:sz w:val="24"/>
          <w:szCs w:val="24"/>
        </w:rPr>
        <w:br/>
        <w:t>Circumcision was therefore never merely an ethnic passport or a badge of outward nationality. It signified regeneration, justification, covenant fellowship and separation unto God (i.e., spiritual, salvific realities).</w:t>
      </w:r>
      <w:r w:rsidRPr="00B111CF">
        <w:rPr>
          <w:sz w:val="24"/>
          <w:szCs w:val="24"/>
        </w:rPr>
        <w:br/>
        <w:t xml:space="preserve">That matters enormously, because the objection in Pooyan </w:t>
      </w:r>
      <w:proofErr w:type="spellStart"/>
      <w:r w:rsidRPr="00B111CF">
        <w:rPr>
          <w:sz w:val="24"/>
          <w:szCs w:val="24"/>
        </w:rPr>
        <w:t>Mehrshahi</w:t>
      </w:r>
      <w:proofErr w:type="spellEnd"/>
      <w:r w:rsidRPr="00B111CF">
        <w:rPr>
          <w:sz w:val="24"/>
          <w:szCs w:val="24"/>
        </w:rPr>
        <w:t>\'s (from now on, PM) post says that the meaning of circumcision does not determine its subjects.</w:t>
      </w:r>
      <w:r w:rsidRPr="00B111CF">
        <w:rPr>
          <w:sz w:val="24"/>
          <w:szCs w:val="24"/>
        </w:rPr>
        <w:br/>
        <w:t>Certainly the meaning alone does not. But neither were its subjects arbitrarily detached from its meaning.</w:t>
      </w:r>
      <w:r w:rsidRPr="00B111CF">
        <w:rPr>
          <w:sz w:val="24"/>
          <w:szCs w:val="24"/>
        </w:rPr>
        <w:br/>
        <w:t>God gave the sign of His covenant promise to those whom He placed within the covenant administration: believers *and their seed*.</w:t>
      </w:r>
      <w:r w:rsidRPr="00B111CF">
        <w:rPr>
          <w:sz w:val="24"/>
          <w:szCs w:val="24"/>
        </w:rPr>
        <w:br/>
        <w:t>The question is whether God has now REMOVED THE SEED.</w:t>
      </w:r>
      <w:r w:rsidRPr="00B111CF">
        <w:rPr>
          <w:sz w:val="24"/>
          <w:szCs w:val="24"/>
        </w:rPr>
        <w:br/>
        <w:t>The New Testament says the opposite.</w:t>
      </w:r>
      <w:r w:rsidRPr="00B111CF">
        <w:rPr>
          <w:sz w:val="24"/>
          <w:szCs w:val="24"/>
        </w:rPr>
        <w:br/>
        <w:t>############################</w:t>
      </w:r>
      <w:r w:rsidRPr="00B111CF">
        <w:rPr>
          <w:sz w:val="24"/>
          <w:szCs w:val="24"/>
        </w:rPr>
        <w:br/>
        <w:t xml:space="preserve">Christ did not come to cancel the Abrahamic promises. Romans 15:8 says that He came “to CONFIRM the promises made unto the fathers.” II Corinthians 1:20 says, “For </w:t>
      </w:r>
      <w:r w:rsidRPr="00B111CF">
        <w:rPr>
          <w:sz w:val="24"/>
          <w:szCs w:val="24"/>
        </w:rPr>
        <w:lastRenderedPageBreak/>
        <w:t>all the promises of God in him are yea, and in him Amen.” Galatians 3 does not abolish the Abrahamic covenant promise concerning the seed; it establishes that its centre and fulfilment is Christ. “Now to Abraham and his seed were the promises made ... And to thy seed, which is Christ” (Gal. 3:16). Then, “if ye be Christ’s, then are ye Abraham’s seed, and heirs according to the promise” (29).</w:t>
      </w:r>
      <w:r w:rsidRPr="00B111CF">
        <w:rPr>
          <w:sz w:val="24"/>
          <w:szCs w:val="24"/>
        </w:rPr>
        <w:br/>
        <w:t>The promises have not disappeared. They have reached their fulfilment in Christ.</w:t>
      </w:r>
      <w:r w:rsidRPr="00B111CF">
        <w:rPr>
          <w:sz w:val="24"/>
          <w:szCs w:val="24"/>
        </w:rPr>
        <w:br/>
        <w:t>This is why the appeal to Galatians 3:7, 26 and 29 does not establish the Baptist position. Reformed theology emphatically agrees that the true children of Abraham are those who are of faith and united to Christ.</w:t>
      </w:r>
      <w:r w:rsidRPr="00B111CF">
        <w:rPr>
          <w:sz w:val="24"/>
          <w:szCs w:val="24"/>
        </w:rPr>
        <w:br/>
        <w:t xml:space="preserve">We do not teach that physical descent from a Christian automatically regenerates a child. Romans 9 forbids that: “They are not all Israel, which are of Israel.” There are Jacobs and </w:t>
      </w:r>
      <w:proofErr w:type="spellStart"/>
      <w:r w:rsidRPr="00B111CF">
        <w:rPr>
          <w:sz w:val="24"/>
          <w:szCs w:val="24"/>
        </w:rPr>
        <w:t>Esaus</w:t>
      </w:r>
      <w:proofErr w:type="spellEnd"/>
      <w:r w:rsidRPr="00B111CF">
        <w:rPr>
          <w:sz w:val="24"/>
          <w:szCs w:val="24"/>
        </w:rPr>
        <w:t xml:space="preserve"> in the covenant generations.</w:t>
      </w:r>
      <w:r w:rsidRPr="00B111CF">
        <w:rPr>
          <w:sz w:val="24"/>
          <w:szCs w:val="24"/>
        </w:rPr>
        <w:br/>
        <w:t>The error is to jump from “only the elect and believing are Abraham’s spiritual seed” to “therefore believers’ infant children have no covenant standing until they make an adult profession.” Paul never makes that deduction. The Reformed view is organic and covenantal, not the assertion that every biological child is elect.</w:t>
      </w:r>
      <w:r w:rsidRPr="00B111CF">
        <w:rPr>
          <w:sz w:val="24"/>
          <w:szCs w:val="24"/>
        </w:rPr>
        <w:br/>
        <w:t>Nor does Colossians 2 weaken the Reformed case. It STRENGTHENS it. Paul moves directly from “the circumcision made without hands” to being “buried with him in baptism” (Col. 2:11-12). Why? Because the external rites SIGNIFY THE SAME FUNDAMENTAL INWARD REALITIES.</w:t>
      </w:r>
      <w:r w:rsidRPr="00B111CF">
        <w:rPr>
          <w:sz w:val="24"/>
          <w:szCs w:val="24"/>
        </w:rPr>
        <w:br/>
        <w:t>Circumcision pointed to the removal of sinful flesh, regeneration, justification and covenant union; baptism points to washing, regeneration, union with Christ, forgiveness and new life. They are the corresponding initiatory signs of the same saving grace.</w:t>
      </w:r>
      <w:r w:rsidRPr="00B111CF">
        <w:rPr>
          <w:sz w:val="24"/>
          <w:szCs w:val="24"/>
        </w:rPr>
        <w:br/>
        <w:t>##########################</w:t>
      </w:r>
      <w:r w:rsidRPr="00B111CF">
        <w:rPr>
          <w:sz w:val="24"/>
          <w:szCs w:val="24"/>
        </w:rPr>
        <w:br/>
        <w:t>PM asks: \"if baptism replaces circumcision, why women? Why no \'eighth day\' baptism? Why not household \'servants\</w:t>
      </w:r>
      <w:proofErr w:type="gramStart"/>
      <w:r w:rsidRPr="00B111CF">
        <w:rPr>
          <w:sz w:val="24"/>
          <w:szCs w:val="24"/>
        </w:rPr>
        <w:t>'?\</w:t>
      </w:r>
      <w:proofErr w:type="gramEnd"/>
      <w:r w:rsidRPr="00B111CF">
        <w:rPr>
          <w:sz w:val="24"/>
          <w:szCs w:val="24"/>
        </w:rPr>
        <w:t>"</w:t>
      </w:r>
      <w:r w:rsidRPr="00B111CF">
        <w:rPr>
          <w:sz w:val="24"/>
          <w:szCs w:val="24"/>
        </w:rPr>
        <w:br/>
        <w:t>But differences in the ADMINISTRATION (yes, these are but administrative differences between the old and new covenant ages) do not destroy the CORRESPONDENCE.</w:t>
      </w:r>
      <w:r w:rsidRPr="00B111CF">
        <w:rPr>
          <w:sz w:val="24"/>
          <w:szCs w:val="24"/>
        </w:rPr>
        <w:br/>
        <w:t>Circumcision was a bloody rite before Christ shed His blood; baptism is a bloodless rite after the cross. Circumcision was restricted to males; in the catholic New Testament church “there is neither male nor female” with respect to salvation in Christ, and Acts 8:12 expressly records the baptism of “both men and women.” Circumcision prescribed the \"eighth day\" because it involved the cutting of the flesh; baptism involves no such bloody requirement.</w:t>
      </w:r>
      <w:r w:rsidRPr="00B111CF">
        <w:rPr>
          <w:sz w:val="24"/>
          <w:szCs w:val="24"/>
        </w:rPr>
        <w:br/>
        <w:t>These are differences appropriate to the movement from the Old Testament form to the richer New Testament administration. They do not prove that God removed children from His covenant.</w:t>
      </w:r>
      <w:r w:rsidRPr="00B111CF">
        <w:rPr>
          <w:sz w:val="24"/>
          <w:szCs w:val="24"/>
        </w:rPr>
        <w:br/>
        <w:t>############################</w:t>
      </w:r>
      <w:r w:rsidRPr="00B111CF">
        <w:rPr>
          <w:sz w:val="24"/>
          <w:szCs w:val="24"/>
        </w:rPr>
        <w:br/>
        <w:t>This brings us to Jeremiah 31. The Baptist use of this passage is particularly striking because the post has just stressed that infant baptism supposedly fails because there is \"no explicit baptismal command.\" Yet Jeremiah 31 says nothing whatsoever about water baptism. The Baptist is therefore himself arguing by theological inference. There is nothing wrong with that. Scripture must be compared with Scripture. But “good and necessary inference” cannot be rejected when infant-</w:t>
      </w:r>
      <w:proofErr w:type="spellStart"/>
      <w:r w:rsidRPr="00B111CF">
        <w:rPr>
          <w:sz w:val="24"/>
          <w:szCs w:val="24"/>
        </w:rPr>
        <w:t>baptists</w:t>
      </w:r>
      <w:proofErr w:type="spellEnd"/>
      <w:r w:rsidRPr="00B111CF">
        <w:rPr>
          <w:sz w:val="24"/>
          <w:szCs w:val="24"/>
        </w:rPr>
        <w:t xml:space="preserve"> use it and then embraced </w:t>
      </w:r>
      <w:r w:rsidRPr="00B111CF">
        <w:rPr>
          <w:sz w:val="24"/>
          <w:szCs w:val="24"/>
        </w:rPr>
        <w:lastRenderedPageBreak/>
        <w:t>when Baptists use Jeremiah 31.</w:t>
      </w:r>
      <w:r w:rsidRPr="00B111CF">
        <w:rPr>
          <w:sz w:val="24"/>
          <w:szCs w:val="24"/>
        </w:rPr>
        <w:br/>
        <w:t>More importantly, Jeremiah 31 cannot possibly mean that children are excluded from the New Covenant age, because the very next chapter says: “And I will give them one heart, and one way, that they may fear me for ever, for the good of them, AND OF THEIR CHILDREN AFTER THEM: And I will make an everlasting covenant with them ... and I will put my fear in their hearts, that they shall not depart from me” (Jer. 32:39-40).</w:t>
      </w:r>
      <w:r w:rsidRPr="00B111CF">
        <w:rPr>
          <w:sz w:val="24"/>
          <w:szCs w:val="24"/>
        </w:rPr>
        <w:br/>
        <w:t>Notice the blessings: one heart, one way, the fear of God, perseverance and an everlasting covenant. These are not merely \"national privileges.\" Yet God explicitly says, “for the good of them, AND OF THEIR CHILDREN AFTER THEM.” Jeremiah 31 and Jeremiah 32 are not describing two different future covenants. They belong to the same prophetic section and describe the same Messianic salvation.</w:t>
      </w:r>
      <w:r w:rsidRPr="00B111CF">
        <w:rPr>
          <w:sz w:val="24"/>
          <w:szCs w:val="24"/>
        </w:rPr>
        <w:br/>
        <w:t>###############################</w:t>
      </w:r>
      <w:r w:rsidRPr="00B111CF">
        <w:rPr>
          <w:sz w:val="24"/>
          <w:szCs w:val="24"/>
        </w:rPr>
        <w:br/>
        <w:t>And Jeremiah is hardly alone. Isaiah foretells the Messianic age in precisely the same generational manner. God says, “I will pour my spirit upon THY SEED, and my blessing upon THINE OFFSPRING” (Isa. 44:3).</w:t>
      </w:r>
      <w:r w:rsidRPr="00B111CF">
        <w:rPr>
          <w:sz w:val="24"/>
          <w:szCs w:val="24"/>
        </w:rPr>
        <w:br/>
        <w:t>Isaiah 59:21 speaks of the Redeemer coming to Zion and then says that God’s Spirit and words will remain with “thy seed” and “THY SEED\'S SEED ... from henceforth and for ever.”</w:t>
      </w:r>
      <w:r w:rsidRPr="00B111CF">
        <w:rPr>
          <w:sz w:val="24"/>
          <w:szCs w:val="24"/>
        </w:rPr>
        <w:br/>
        <w:t>Isaiah 60 brings SONS AND NURSING DAUGHTERS into Zion.</w:t>
      </w:r>
      <w:r w:rsidRPr="00B111CF">
        <w:rPr>
          <w:sz w:val="24"/>
          <w:szCs w:val="24"/>
        </w:rPr>
        <w:br/>
        <w:t>Ezekiel 37 describes the Messianic Shepherd-King and says God’s people will dwell with “THEIR CHILDREN, and THEIR CHILDREN\'S CHILDREN for ever.”</w:t>
      </w:r>
      <w:r w:rsidRPr="00B111CF">
        <w:rPr>
          <w:sz w:val="24"/>
          <w:szCs w:val="24"/>
        </w:rPr>
        <w:br/>
        <w:t>The prophets do not predict that the Messiah will arrive and cast believers’ little ones out! They expressly put them into the coming Messianic covenant.</w:t>
      </w:r>
      <w:r w:rsidRPr="00B111CF">
        <w:rPr>
          <w:sz w:val="24"/>
          <w:szCs w:val="24"/>
        </w:rPr>
        <w:br/>
        <w:t>Acts 2:39 is therefore exactly what we would expect at Pentecost:</w:t>
      </w:r>
      <w:r w:rsidRPr="00B111CF">
        <w:rPr>
          <w:sz w:val="24"/>
          <w:szCs w:val="24"/>
        </w:rPr>
        <w:br/>
        <w:t>“For the promise is unto you, AND TO YOUR CHILDREN, and to all that are afar off, even as many as the Lord our God shall call.”</w:t>
      </w:r>
      <w:r w:rsidRPr="00B111CF">
        <w:rPr>
          <w:sz w:val="24"/>
          <w:szCs w:val="24"/>
        </w:rPr>
        <w:br/>
        <w:t>PM effectively makes “even as many as the Lord our God shall call” cancel “and to your children.” It does no such thing. There are three parties named: 1) “you,” 2) “your children” and 3) “all that are afar off.” The qualification concerning God’s call guards the sovereign and particular fulfilment of the promise; it does not erase one of the three groups Peter has just named.</w:t>
      </w:r>
      <w:r w:rsidRPr="00B111CF">
        <w:rPr>
          <w:sz w:val="24"/>
          <w:szCs w:val="24"/>
        </w:rPr>
        <w:br/>
        <w:t>And what is the promise? The context tells us: “ye shall receive THE GIFT OF THE HOLY GHOST” (v. 38).</w:t>
      </w:r>
      <w:r w:rsidRPr="00B111CF">
        <w:rPr>
          <w:sz w:val="24"/>
          <w:szCs w:val="24"/>
        </w:rPr>
        <w:br/>
        <w:t xml:space="preserve">Thus, on the very day of Pentecost, Peter still speaks in the ancient covenantal form: \"you and your </w:t>
      </w:r>
      <w:proofErr w:type="gramStart"/>
      <w:r w:rsidRPr="00B111CF">
        <w:rPr>
          <w:sz w:val="24"/>
          <w:szCs w:val="24"/>
        </w:rPr>
        <w:t>children,\</w:t>
      </w:r>
      <w:proofErr w:type="gramEnd"/>
      <w:r w:rsidRPr="00B111CF">
        <w:rPr>
          <w:sz w:val="24"/>
          <w:szCs w:val="24"/>
        </w:rPr>
        <w:t>" now WIDENED to embrace those who were formerly “afar off,” the Gentiles. The great New Testament change is not the subtraction of children but the ADDITION of the nations.</w:t>
      </w:r>
      <w:r w:rsidRPr="00B111CF">
        <w:rPr>
          <w:sz w:val="24"/>
          <w:szCs w:val="24"/>
        </w:rPr>
        <w:br/>
        <w:t>Verse 41 does not overturn this: “Then they that gladly received his word were baptized.” Of course, adult converts who received Peter’s preaching were baptised. Infant-</w:t>
      </w:r>
      <w:proofErr w:type="spellStart"/>
      <w:r w:rsidRPr="00B111CF">
        <w:rPr>
          <w:sz w:val="24"/>
          <w:szCs w:val="24"/>
        </w:rPr>
        <w:t>baptists</w:t>
      </w:r>
      <w:proofErr w:type="spellEnd"/>
      <w:r w:rsidRPr="00B111CF">
        <w:rPr>
          <w:sz w:val="24"/>
          <w:szCs w:val="24"/>
        </w:rPr>
        <w:t xml:space="preserve"> believe that too. This was a missionary situation involving adults hearing the apostolic gospel. Describing the baptism of those adult converts does not establish the universal proposition, “Only persons capable of first making an adult profession may ever receive baptism.”</w:t>
      </w:r>
      <w:r w:rsidRPr="00B111CF">
        <w:rPr>
          <w:sz w:val="24"/>
          <w:szCs w:val="24"/>
        </w:rPr>
        <w:br/>
        <w:t xml:space="preserve">The \"household\" baptisms make far more sense on the covenantal understanding: </w:t>
      </w:r>
      <w:r w:rsidRPr="00B111CF">
        <w:rPr>
          <w:sz w:val="24"/>
          <w:szCs w:val="24"/>
        </w:rPr>
        <w:lastRenderedPageBreak/>
        <w:t>Lydia and her household were baptised. The Philippian jailer and his household were baptised. Cornelius and his household were baptised. Paul baptised the household of Stephanas. No, the mere word “household” does not prove that there was an eight-week-old infant in any particular house. But that misses the cumulative argument: Scripture has already established the \"believer-and-seed\" principle. Peter has just said that the promise is “unto you, and to your children.” Paul tells the jailer, “Believe on the Lord Jesus Christ, and thou shalt be saved, and thy house” (Acts 16:31). Within that covenantal framework, repeated household baptisms are exactly what we should EXPECT.</w:t>
      </w:r>
      <w:r w:rsidRPr="00B111CF">
        <w:rPr>
          <w:sz w:val="24"/>
          <w:szCs w:val="24"/>
        </w:rPr>
        <w:br/>
        <w:t>PM\'s treatment of I Corinthians 7:14 in the post is particularly weak. Paul does not merely say that Christian children have “advantages.” He says: “else were your children unclean; but now are they holy.”</w:t>
      </w:r>
      <w:r w:rsidRPr="00B111CF">
        <w:rPr>
          <w:sz w:val="24"/>
          <w:szCs w:val="24"/>
        </w:rPr>
        <w:br/>
        <w:t>The unbelieving spouse is explicitly called \"unbelieving\" and is said to be sanctified by the believing spouse in relation to the marriage. The children, however, are not called \"unbelieving.\" Instead Paul gives them a positive status: they are not unclean, but HOLY. The status of the believing parent determines the covenantal standing of the children.</w:t>
      </w:r>
      <w:r w:rsidRPr="00B111CF">
        <w:rPr>
          <w:sz w:val="24"/>
          <w:szCs w:val="24"/>
        </w:rPr>
        <w:br/>
        <w:t>The attempt to make “holy” mean merely “legitimate” simply evacuates Paul’s religious language. Paul says \"</w:t>
      </w:r>
      <w:proofErr w:type="gramStart"/>
      <w:r w:rsidRPr="00B111CF">
        <w:rPr>
          <w:sz w:val="24"/>
          <w:szCs w:val="24"/>
        </w:rPr>
        <w:t>holy,\</w:t>
      </w:r>
      <w:proofErr w:type="gramEnd"/>
      <w:r w:rsidRPr="00B111CF">
        <w:rPr>
          <w:sz w:val="24"/>
          <w:szCs w:val="24"/>
        </w:rPr>
        <w:t>" not merely \"legally legitimate.\" In the New Testament, holiness is precisely the language used for THOSE SET APART UNTO GOD. This fits perfectly with the fact that Paul directly addresses the children of the Ephesian congregation: “Children, obey your parents in the Lord” (Eph. 6:1). He does not address them as little pagans who might one day enter the church. They are INCLUDED among those to whom the apostolic epistle is written and are commanded and promised as children within the church.</w:t>
      </w:r>
      <w:r w:rsidRPr="00B111CF">
        <w:rPr>
          <w:sz w:val="24"/>
          <w:szCs w:val="24"/>
        </w:rPr>
        <w:br/>
        <w:t>Nor should Christ’s own treatment of covenant children be omitted. He speaks of “these little ones WHICH BELIEVE IN ME” (Matt. 18:6). He receives infants brought to Him and says, “of such is the kingdom of God” (Mark 10:14; cf. Luke 18:15). He takes them into His arms and BLESSES them (and what is the blessing of Christ, but the IMPARTATION OF NEW COVENANT SALVATION ITSELF?).</w:t>
      </w:r>
      <w:r w:rsidRPr="00B111CF">
        <w:rPr>
          <w:sz w:val="24"/>
          <w:szCs w:val="24"/>
        </w:rPr>
        <w:br/>
        <w:t>After His resurrection He tells Peter, “Feed my lambs” (John 21:15). The consistent biblical picture of believers’ children is not that they are \"outsiders\" \"until they reach an undefined age of credible profession.\" They are CHRIST\'S LITTLE ONES, INFANTS OF THE KINGDOM and LAMBS OF THE FLOCK.</w:t>
      </w:r>
      <w:r w:rsidRPr="00B111CF">
        <w:rPr>
          <w:sz w:val="24"/>
          <w:szCs w:val="24"/>
        </w:rPr>
        <w:br/>
        <w:t>The Reformed position does not infer their covenant standing from sentimentality; it derives it from how Scripture itself speaks about them.</w:t>
      </w:r>
      <w:r w:rsidRPr="00B111CF">
        <w:rPr>
          <w:sz w:val="24"/>
          <w:szCs w:val="24"/>
        </w:rPr>
        <w:br/>
        <w:t>###############################</w:t>
      </w:r>
      <w:r w:rsidRPr="00B111CF">
        <w:rPr>
          <w:sz w:val="24"/>
          <w:szCs w:val="24"/>
        </w:rPr>
        <w:br/>
        <w:t>Finally, PM\'s quotations from Warfield, Murray, Schaff and Alford simply do not settle the issue. I readily grant that there is no verse which says in those exact words, “Christian parents, baptise your newborn infants.” But that is no more fatal to infant baptism than the absence of an isolated proof text is fatal to many doctrines established by comparing the whole counsel of God. Indeed, the Baptist argument IN THIS VERY POST repeatedly proceeds by inference itself.</w:t>
      </w:r>
      <w:r w:rsidRPr="00B111CF">
        <w:rPr>
          <w:sz w:val="24"/>
          <w:szCs w:val="24"/>
        </w:rPr>
        <w:br/>
        <w:t>The real question is therefore not: “Where is the verse which says, ‘Baptise babies’?”</w:t>
      </w:r>
      <w:r w:rsidRPr="00B111CF">
        <w:rPr>
          <w:sz w:val="24"/>
          <w:szCs w:val="24"/>
        </w:rPr>
        <w:br/>
      </w:r>
      <w:r w:rsidRPr="00B111CF">
        <w:rPr>
          <w:sz w:val="24"/>
          <w:szCs w:val="24"/>
        </w:rPr>
        <w:lastRenderedPageBreak/>
        <w:t>It is:</w:t>
      </w:r>
      <w:r w:rsidRPr="00B111CF">
        <w:rPr>
          <w:sz w:val="24"/>
          <w:szCs w:val="24"/>
        </w:rPr>
        <w:br/>
        <w:t>1) God explicitly establishes His covenant with believers and their children.</w:t>
      </w:r>
      <w:r w:rsidRPr="00B111CF">
        <w:rPr>
          <w:sz w:val="24"/>
          <w:szCs w:val="24"/>
        </w:rPr>
        <w:br/>
        <w:t>2) He gave those children the sign and seal of the righteousness of faith.</w:t>
      </w:r>
      <w:r w:rsidRPr="00B111CF">
        <w:rPr>
          <w:sz w:val="24"/>
          <w:szCs w:val="24"/>
        </w:rPr>
        <w:br/>
        <w:t>3) The prophets expressly include believers’ children in the coming Messianic covenant.</w:t>
      </w:r>
      <w:r w:rsidRPr="00B111CF">
        <w:rPr>
          <w:sz w:val="24"/>
          <w:szCs w:val="24"/>
        </w:rPr>
        <w:br/>
        <w:t>4) Christ receives little ones as belonging to His kingdom.</w:t>
      </w:r>
      <w:r w:rsidRPr="00B111CF">
        <w:rPr>
          <w:sz w:val="24"/>
          <w:szCs w:val="24"/>
        </w:rPr>
        <w:br/>
        <w:t>5) Peter says at Pentecost, “the promise is unto you, and to your children.”</w:t>
      </w:r>
      <w:r w:rsidRPr="00B111CF">
        <w:rPr>
          <w:sz w:val="24"/>
          <w:szCs w:val="24"/>
        </w:rPr>
        <w:br/>
        <w:t>6) Paul calls the children of even one believer “holy” and addresses children as members of the church.</w:t>
      </w:r>
      <w:r w:rsidRPr="00B111CF">
        <w:rPr>
          <w:sz w:val="24"/>
          <w:szCs w:val="24"/>
        </w:rPr>
        <w:br/>
        <w:t>7) The New Testament repeatedly baptises households.</w:t>
      </w:r>
      <w:r w:rsidRPr="00B111CF">
        <w:rPr>
          <w:sz w:val="24"/>
          <w:szCs w:val="24"/>
        </w:rPr>
        <w:br/>
        <w:t>8 ) Circumcision and baptism signify the same fundamental saving realities and function as the initiatory signs of God’s covenant.</w:t>
      </w:r>
      <w:r w:rsidRPr="00B111CF">
        <w:rPr>
          <w:sz w:val="24"/>
          <w:szCs w:val="24"/>
        </w:rPr>
        <w:br/>
        <w:t>Where, then, did God REVOKE the covenant standing of believers’ children?</w:t>
      </w:r>
      <w:r w:rsidRPr="00B111CF">
        <w:rPr>
          <w:sz w:val="24"/>
          <w:szCs w:val="24"/>
        </w:rPr>
        <w:br/>
        <w:t>THE BAPTIST CASE REQUIRES SUCH A REVO</w:t>
      </w:r>
      <w:r w:rsidR="00456512">
        <w:rPr>
          <w:sz w:val="24"/>
          <w:szCs w:val="24"/>
        </w:rPr>
        <w:t>C</w:t>
      </w:r>
      <w:r w:rsidRPr="00B111CF">
        <w:rPr>
          <w:sz w:val="24"/>
          <w:szCs w:val="24"/>
        </w:rPr>
        <w:t>ATION. It cannot simply assume it and then demand that the Reformed prove from scratch that children were ever put back in.</w:t>
      </w:r>
      <w:r w:rsidRPr="00B111CF">
        <w:rPr>
          <w:sz w:val="24"/>
          <w:szCs w:val="24"/>
        </w:rPr>
        <w:br/>
        <w:t>THEY WERE NEVER PUT OUT.</w:t>
      </w:r>
    </w:p>
    <w:sectPr w:rsidR="00B111CF" w:rsidRPr="00B111CF">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BC537" w14:textId="77777777" w:rsidR="00C60F1D" w:rsidRDefault="00C60F1D" w:rsidP="000A65FF">
      <w:pPr>
        <w:spacing w:after="0" w:line="240" w:lineRule="auto"/>
      </w:pPr>
      <w:r>
        <w:separator/>
      </w:r>
    </w:p>
  </w:endnote>
  <w:endnote w:type="continuationSeparator" w:id="0">
    <w:p w14:paraId="3A075926" w14:textId="77777777" w:rsidR="00C60F1D" w:rsidRDefault="00C60F1D" w:rsidP="000A65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011F6" w14:textId="77777777" w:rsidR="000A65FF" w:rsidRDefault="000A65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866828"/>
      <w:docPartObj>
        <w:docPartGallery w:val="Page Numbers (Bottom of Page)"/>
        <w:docPartUnique/>
      </w:docPartObj>
    </w:sdtPr>
    <w:sdtContent>
      <w:p w14:paraId="43C8055E" w14:textId="0F63DBEB" w:rsidR="000A65FF" w:rsidRDefault="000A65FF">
        <w:pPr>
          <w:pStyle w:val="Footer"/>
          <w:jc w:val="center"/>
        </w:pPr>
        <w:r>
          <w:fldChar w:fldCharType="begin"/>
        </w:r>
        <w:r>
          <w:instrText>PAGE   \* MERGEFORMAT</w:instrText>
        </w:r>
        <w:r>
          <w:fldChar w:fldCharType="separate"/>
        </w:r>
        <w:r>
          <w:t>2</w:t>
        </w:r>
        <w:r>
          <w:fldChar w:fldCharType="end"/>
        </w:r>
      </w:p>
    </w:sdtContent>
  </w:sdt>
  <w:p w14:paraId="4B6542FC" w14:textId="77777777" w:rsidR="000A65FF" w:rsidRDefault="000A65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90966" w14:textId="77777777" w:rsidR="000A65FF" w:rsidRDefault="000A65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E23E4" w14:textId="77777777" w:rsidR="00C60F1D" w:rsidRDefault="00C60F1D" w:rsidP="000A65FF">
      <w:pPr>
        <w:spacing w:after="0" w:line="240" w:lineRule="auto"/>
      </w:pPr>
      <w:r>
        <w:separator/>
      </w:r>
    </w:p>
  </w:footnote>
  <w:footnote w:type="continuationSeparator" w:id="0">
    <w:p w14:paraId="19D20CC4" w14:textId="77777777" w:rsidR="00C60F1D" w:rsidRDefault="00C60F1D" w:rsidP="000A65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EE3EB" w14:textId="77777777" w:rsidR="000A65FF" w:rsidRDefault="000A65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5D2D7" w14:textId="77777777" w:rsidR="000A65FF" w:rsidRDefault="000A65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C4378" w14:textId="77777777" w:rsidR="000A65FF" w:rsidRDefault="000A65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767"/>
    <w:rsid w:val="000A65FF"/>
    <w:rsid w:val="00172882"/>
    <w:rsid w:val="002254FC"/>
    <w:rsid w:val="0040506B"/>
    <w:rsid w:val="00456512"/>
    <w:rsid w:val="004A3213"/>
    <w:rsid w:val="006F1767"/>
    <w:rsid w:val="00B111CF"/>
    <w:rsid w:val="00C1020A"/>
    <w:rsid w:val="00C60F1D"/>
    <w:rsid w:val="00F65A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61EA6"/>
  <w15:chartTrackingRefBased/>
  <w15:docId w15:val="{CE3B16A8-B66B-44C4-AB76-B6BDF00AA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17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17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17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17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17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17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17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17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17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17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17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17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17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17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17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17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17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1767"/>
    <w:rPr>
      <w:rFonts w:eastAsiaTheme="majorEastAsia" w:cstheme="majorBidi"/>
      <w:color w:val="272727" w:themeColor="text1" w:themeTint="D8"/>
    </w:rPr>
  </w:style>
  <w:style w:type="paragraph" w:styleId="Title">
    <w:name w:val="Title"/>
    <w:basedOn w:val="Normal"/>
    <w:next w:val="Normal"/>
    <w:link w:val="TitleChar"/>
    <w:uiPriority w:val="10"/>
    <w:qFormat/>
    <w:rsid w:val="006F17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17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17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17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1767"/>
    <w:pPr>
      <w:spacing w:before="160"/>
      <w:jc w:val="center"/>
    </w:pPr>
    <w:rPr>
      <w:i/>
      <w:iCs/>
      <w:color w:val="404040" w:themeColor="text1" w:themeTint="BF"/>
    </w:rPr>
  </w:style>
  <w:style w:type="character" w:customStyle="1" w:styleId="QuoteChar">
    <w:name w:val="Quote Char"/>
    <w:basedOn w:val="DefaultParagraphFont"/>
    <w:link w:val="Quote"/>
    <w:uiPriority w:val="29"/>
    <w:rsid w:val="006F1767"/>
    <w:rPr>
      <w:i/>
      <w:iCs/>
      <w:color w:val="404040" w:themeColor="text1" w:themeTint="BF"/>
    </w:rPr>
  </w:style>
  <w:style w:type="paragraph" w:styleId="ListParagraph">
    <w:name w:val="List Paragraph"/>
    <w:basedOn w:val="Normal"/>
    <w:uiPriority w:val="34"/>
    <w:qFormat/>
    <w:rsid w:val="006F1767"/>
    <w:pPr>
      <w:ind w:left="720"/>
      <w:contextualSpacing/>
    </w:pPr>
  </w:style>
  <w:style w:type="character" w:styleId="IntenseEmphasis">
    <w:name w:val="Intense Emphasis"/>
    <w:basedOn w:val="DefaultParagraphFont"/>
    <w:uiPriority w:val="21"/>
    <w:qFormat/>
    <w:rsid w:val="006F1767"/>
    <w:rPr>
      <w:i/>
      <w:iCs/>
      <w:color w:val="0F4761" w:themeColor="accent1" w:themeShade="BF"/>
    </w:rPr>
  </w:style>
  <w:style w:type="paragraph" w:styleId="IntenseQuote">
    <w:name w:val="Intense Quote"/>
    <w:basedOn w:val="Normal"/>
    <w:next w:val="Normal"/>
    <w:link w:val="IntenseQuoteChar"/>
    <w:uiPriority w:val="30"/>
    <w:qFormat/>
    <w:rsid w:val="006F17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1767"/>
    <w:rPr>
      <w:i/>
      <w:iCs/>
      <w:color w:val="0F4761" w:themeColor="accent1" w:themeShade="BF"/>
    </w:rPr>
  </w:style>
  <w:style w:type="character" w:styleId="IntenseReference">
    <w:name w:val="Intense Reference"/>
    <w:basedOn w:val="DefaultParagraphFont"/>
    <w:uiPriority w:val="32"/>
    <w:qFormat/>
    <w:rsid w:val="006F1767"/>
    <w:rPr>
      <w:b/>
      <w:bCs/>
      <w:smallCaps/>
      <w:color w:val="0F4761" w:themeColor="accent1" w:themeShade="BF"/>
      <w:spacing w:val="5"/>
    </w:rPr>
  </w:style>
  <w:style w:type="paragraph" w:styleId="Header">
    <w:name w:val="header"/>
    <w:basedOn w:val="Normal"/>
    <w:link w:val="HeaderChar"/>
    <w:uiPriority w:val="99"/>
    <w:unhideWhenUsed/>
    <w:rsid w:val="000A65FF"/>
    <w:pPr>
      <w:tabs>
        <w:tab w:val="center" w:pos="4536"/>
        <w:tab w:val="right" w:pos="9072"/>
      </w:tabs>
      <w:spacing w:after="0" w:line="240" w:lineRule="auto"/>
    </w:pPr>
  </w:style>
  <w:style w:type="character" w:customStyle="1" w:styleId="HeaderChar">
    <w:name w:val="Header Char"/>
    <w:basedOn w:val="DefaultParagraphFont"/>
    <w:link w:val="Header"/>
    <w:uiPriority w:val="99"/>
    <w:rsid w:val="000A65FF"/>
  </w:style>
  <w:style w:type="paragraph" w:styleId="Footer">
    <w:name w:val="footer"/>
    <w:basedOn w:val="Normal"/>
    <w:link w:val="FooterChar"/>
    <w:uiPriority w:val="99"/>
    <w:unhideWhenUsed/>
    <w:rsid w:val="000A65FF"/>
    <w:pPr>
      <w:tabs>
        <w:tab w:val="center" w:pos="4536"/>
        <w:tab w:val="right" w:pos="9072"/>
      </w:tabs>
      <w:spacing w:after="0" w:line="240" w:lineRule="auto"/>
    </w:pPr>
  </w:style>
  <w:style w:type="character" w:customStyle="1" w:styleId="FooterChar">
    <w:name w:val="Footer Char"/>
    <w:basedOn w:val="DefaultParagraphFont"/>
    <w:link w:val="Footer"/>
    <w:uiPriority w:val="99"/>
    <w:rsid w:val="000A65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5</Pages>
  <Words>1988</Words>
  <Characters>11338</Characters>
  <Application>Microsoft Office Word</Application>
  <DocSecurity>0</DocSecurity>
  <Lines>94</Lines>
  <Paragraphs>26</Paragraphs>
  <ScaleCrop>false</ScaleCrop>
  <Company/>
  <LinksUpToDate>false</LinksUpToDate>
  <CharactersWithSpaces>13300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Jarosz</dc:creator>
  <cp:keywords/>
  <dc:description/>
  <cp:lastModifiedBy>Robert Jarosz</cp:lastModifiedBy>
  <cp:revision>6</cp:revision>
  <dcterms:created xsi:type="dcterms:W3CDTF">2026-09-09T18:27:00Z</dcterms:created>
  <dcterms:modified xsi:type="dcterms:W3CDTF">2026-09-10T23:11:00Z</dcterms:modified>
</cp:coreProperties>
</file>